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437A5" w14:textId="77777777" w:rsidR="00DE3F6E" w:rsidRDefault="00DE3F6E"/>
    <w:p w14:paraId="2BE6979B" w14:textId="77590AF4" w:rsidR="007201A2" w:rsidRPr="00AF1661" w:rsidRDefault="007F6140" w:rsidP="007F6140">
      <w:pPr>
        <w:rPr>
          <w:b/>
          <w:bCs/>
          <w:sz w:val="32"/>
          <w:szCs w:val="32"/>
          <w:lang w:val="cs-CZ"/>
        </w:rPr>
      </w:pPr>
      <w:r w:rsidRPr="007F6140">
        <w:rPr>
          <w:b/>
          <w:bCs/>
          <w:sz w:val="32"/>
          <w:szCs w:val="32"/>
          <w:lang w:val="cs-CZ"/>
        </w:rPr>
        <w:t>Tropické nemoci už nejsou jen problém exotiky. Na co si dát pozor i při dovolené v</w:t>
      </w:r>
      <w:r w:rsidR="00995AB8">
        <w:rPr>
          <w:b/>
          <w:bCs/>
          <w:sz w:val="32"/>
          <w:szCs w:val="32"/>
          <w:lang w:val="cs-CZ"/>
        </w:rPr>
        <w:t> </w:t>
      </w:r>
      <w:r w:rsidRPr="007F6140">
        <w:rPr>
          <w:b/>
          <w:bCs/>
          <w:sz w:val="32"/>
          <w:szCs w:val="32"/>
          <w:lang w:val="cs-CZ"/>
        </w:rPr>
        <w:t>Evropě</w:t>
      </w:r>
    </w:p>
    <w:p w14:paraId="54DA0159" w14:textId="5DB68774" w:rsidR="007F6140" w:rsidRPr="007F6140" w:rsidRDefault="007F6140" w:rsidP="007F6140">
      <w:pPr>
        <w:rPr>
          <w:lang w:val="cs-CZ"/>
        </w:rPr>
      </w:pPr>
      <w:r w:rsidRPr="007F6140">
        <w:rPr>
          <w:b/>
          <w:bCs/>
          <w:lang w:val="cs-CZ"/>
        </w:rPr>
        <w:t>Praha</w:t>
      </w:r>
      <w:r w:rsidR="004C1B7D">
        <w:rPr>
          <w:b/>
          <w:bCs/>
          <w:lang w:val="cs-CZ"/>
        </w:rPr>
        <w:t xml:space="preserve"> 1</w:t>
      </w:r>
      <w:r w:rsidR="001F30D4">
        <w:rPr>
          <w:b/>
          <w:bCs/>
          <w:lang w:val="cs-CZ"/>
        </w:rPr>
        <w:t>2</w:t>
      </w:r>
      <w:r w:rsidRPr="007F6140">
        <w:rPr>
          <w:b/>
          <w:bCs/>
          <w:lang w:val="cs-CZ"/>
        </w:rPr>
        <w:t xml:space="preserve">. </w:t>
      </w:r>
      <w:r>
        <w:rPr>
          <w:b/>
          <w:bCs/>
          <w:lang w:val="cs-CZ"/>
        </w:rPr>
        <w:t>srpna</w:t>
      </w:r>
      <w:r w:rsidRPr="007F6140">
        <w:rPr>
          <w:b/>
          <w:bCs/>
          <w:lang w:val="cs-CZ"/>
        </w:rPr>
        <w:t xml:space="preserve"> 2026</w:t>
      </w:r>
      <w:r w:rsidRPr="007F6140">
        <w:rPr>
          <w:lang w:val="cs-CZ"/>
        </w:rPr>
        <w:t xml:space="preserve"> – </w:t>
      </w:r>
      <w:r w:rsidRPr="007F6140">
        <w:rPr>
          <w:b/>
          <w:bCs/>
          <w:lang w:val="cs-CZ"/>
        </w:rPr>
        <w:t>Ještě před několika lety si většina lidí spojovala tropické nemoci především s cestami do jihovýchodní Asie, Afriky nebo Jižní Ameriky. Dnes se ale některé nákazy přenášené komáry nebo klíšťaty objevují i v jižní Evropě. Odborníci proto doporučují nepodceňovat prevenci ani při cestách do oblíbených evropských destinací a před odjezdem myslet nejen na cestovní pojištění, ale i na základní zdravotní přípravu.</w:t>
      </w:r>
    </w:p>
    <w:p w14:paraId="1214E427" w14:textId="77777777" w:rsidR="002B7B40" w:rsidRDefault="007F6140" w:rsidP="007F6140">
      <w:pPr>
        <w:rPr>
          <w:lang w:val="cs-CZ"/>
        </w:rPr>
      </w:pPr>
      <w:r w:rsidRPr="007F6140">
        <w:rPr>
          <w:lang w:val="cs-CZ"/>
        </w:rPr>
        <w:t>Mezi nejčastěji zmiňovaná onemocnění patří například horečka dengue, která se v posledních letech objevila ve Španělsku, Francii, Itálii nebo Chorvatsku. V Evropě bylo zaznamenáno přibližně 130 lokálně přenesených případů, tedy více než za celé předchozí desetiletí dohromady.</w:t>
      </w:r>
      <w:r>
        <w:rPr>
          <w:lang w:val="cs-CZ"/>
        </w:rPr>
        <w:t xml:space="preserve"> </w:t>
      </w:r>
    </w:p>
    <w:p w14:paraId="1D572B4A" w14:textId="11A24B34" w:rsidR="007F6140" w:rsidRPr="007F6140" w:rsidRDefault="007F6140" w:rsidP="007F6140">
      <w:pPr>
        <w:rPr>
          <w:lang w:val="cs-CZ"/>
        </w:rPr>
      </w:pPr>
      <w:r w:rsidRPr="007F6140">
        <w:rPr>
          <w:lang w:val="cs-CZ"/>
        </w:rPr>
        <w:t>Vedle dengue se v jižní Evropě sleduje také západonilská horečka, jejíž výskyt je spojován zejména s oblastmi Středomoří. V roce 2022 si v Evropě vyžádala více než 90 úmrtí, o rok později dalších 67. Přestože vážné průběhy zůstávají spíše výjimečné, nejohroženější skupinou bývají senioři a lidé s oslabenou imunitou.</w:t>
      </w:r>
      <w:r w:rsidR="002B7B40">
        <w:rPr>
          <w:lang w:val="cs-CZ"/>
        </w:rPr>
        <w:t xml:space="preserve"> </w:t>
      </w:r>
      <w:r w:rsidRPr="007F6140">
        <w:rPr>
          <w:lang w:val="cs-CZ"/>
        </w:rPr>
        <w:t xml:space="preserve">Pozornost odborníků se soustředí také na </w:t>
      </w:r>
      <w:r w:rsidR="002B7B40">
        <w:rPr>
          <w:lang w:val="cs-CZ"/>
        </w:rPr>
        <w:t xml:space="preserve">virové onemocnění </w:t>
      </w:r>
      <w:r w:rsidRPr="007F6140">
        <w:rPr>
          <w:lang w:val="cs-CZ"/>
        </w:rPr>
        <w:t>chikunguny</w:t>
      </w:r>
      <w:r w:rsidR="002B7B40">
        <w:rPr>
          <w:lang w:val="cs-CZ"/>
        </w:rPr>
        <w:t>a</w:t>
      </w:r>
      <w:r w:rsidRPr="007F6140">
        <w:rPr>
          <w:lang w:val="cs-CZ"/>
        </w:rPr>
        <w:t xml:space="preserve">, která se stejně jako dengue přenáší komáry, a na ojedinělé případy malárie. </w:t>
      </w:r>
    </w:p>
    <w:p w14:paraId="34246504" w14:textId="7E0E9CCC" w:rsidR="007F6140" w:rsidRPr="007F6140" w:rsidRDefault="007F6140" w:rsidP="007F6140">
      <w:pPr>
        <w:rPr>
          <w:lang w:val="cs-CZ"/>
        </w:rPr>
      </w:pPr>
      <w:r w:rsidRPr="002B7B40">
        <w:rPr>
          <w:i/>
          <w:iCs/>
          <w:lang w:val="cs-CZ"/>
        </w:rPr>
        <w:t>„Lidé často předpokládají, že pokud jedou na dovolenou po Evropě, nemusí zdravotní rizika příliš řešit. Přitom i běžná letní cesta může znamenat kontakt s nemocemi, které byly dříve spojované hlavně s tropickými oblastmi. Nejde o důvod k obavám, ale o připomínku, že prevence a dobré pojištění mají smysl i při kratších cestách,“</w:t>
      </w:r>
      <w:r w:rsidRPr="007F6140">
        <w:rPr>
          <w:lang w:val="cs-CZ"/>
        </w:rPr>
        <w:t xml:space="preserve"> říká Tomáš Klápa, specialista </w:t>
      </w:r>
      <w:r w:rsidR="002B7B40">
        <w:rPr>
          <w:lang w:val="cs-CZ"/>
        </w:rPr>
        <w:t xml:space="preserve">pojištění </w:t>
      </w:r>
      <w:r w:rsidRPr="007F6140">
        <w:rPr>
          <w:lang w:val="cs-CZ"/>
        </w:rPr>
        <w:t>FinGO.</w:t>
      </w:r>
    </w:p>
    <w:p w14:paraId="73440798" w14:textId="5AF7C055" w:rsidR="007F6140" w:rsidRPr="007F6140" w:rsidRDefault="007F6140" w:rsidP="007F6140">
      <w:pPr>
        <w:rPr>
          <w:b/>
          <w:bCs/>
          <w:lang w:val="cs-CZ"/>
        </w:rPr>
      </w:pPr>
      <w:r w:rsidRPr="007F6140">
        <w:rPr>
          <w:b/>
          <w:bCs/>
          <w:lang w:val="cs-CZ"/>
        </w:rPr>
        <w:t xml:space="preserve">Cestovní pojištění </w:t>
      </w:r>
      <w:r w:rsidR="0074720E">
        <w:rPr>
          <w:b/>
          <w:bCs/>
          <w:lang w:val="cs-CZ"/>
        </w:rPr>
        <w:t xml:space="preserve">obvykle </w:t>
      </w:r>
      <w:r w:rsidRPr="007F6140">
        <w:rPr>
          <w:b/>
          <w:bCs/>
          <w:lang w:val="cs-CZ"/>
        </w:rPr>
        <w:t>kryje i tropické nemoci</w:t>
      </w:r>
    </w:p>
    <w:p w14:paraId="13E43474" w14:textId="77777777" w:rsidR="007F6140" w:rsidRPr="007F6140" w:rsidRDefault="007F6140" w:rsidP="007F6140">
      <w:pPr>
        <w:rPr>
          <w:lang w:val="cs-CZ"/>
        </w:rPr>
      </w:pPr>
      <w:r w:rsidRPr="007F6140">
        <w:rPr>
          <w:lang w:val="cs-CZ"/>
        </w:rPr>
        <w:t>Mnoho cestovatelů si klade otázku, zda se standardní cestovní pojištění vztahuje také na léčbu tropických a infekčních nemocí, jako je například dengue, malárie, chikungunya, zika, žlutá zimnice, břišní tyfus nebo hepatitida A.</w:t>
      </w:r>
    </w:p>
    <w:p w14:paraId="34BCFEB6" w14:textId="77777777" w:rsidR="007F6140" w:rsidRPr="007F6140" w:rsidRDefault="007F6140" w:rsidP="007F6140">
      <w:pPr>
        <w:rPr>
          <w:lang w:val="cs-CZ"/>
        </w:rPr>
      </w:pPr>
      <w:r w:rsidRPr="002B7B40">
        <w:rPr>
          <w:i/>
          <w:iCs/>
          <w:lang w:val="cs-CZ"/>
        </w:rPr>
        <w:t>„Ano, standardní cestovní pojištění léčebných výloh ve většině případů kryje léčbu infekčních a tropických onemocnění, pokud je klient neočekávaně získá během pojištěné cesty a nejde o situaci, na kterou se vztahuje některá z výluk v pojistných podmínkách. Rozhodující je vždy konkrétní smlouva a okolnosti daného případu,“</w:t>
      </w:r>
      <w:r w:rsidRPr="007F6140">
        <w:rPr>
          <w:lang w:val="cs-CZ"/>
        </w:rPr>
        <w:t xml:space="preserve"> vysvětluje Tomáš Klápa.</w:t>
      </w:r>
    </w:p>
    <w:p w14:paraId="1B7957CB" w14:textId="77777777" w:rsidR="004C15E3" w:rsidRDefault="007F6140" w:rsidP="007F6140">
      <w:pPr>
        <w:rPr>
          <w:lang w:val="cs-CZ"/>
        </w:rPr>
      </w:pPr>
      <w:r w:rsidRPr="007F6140">
        <w:rPr>
          <w:lang w:val="cs-CZ"/>
        </w:rPr>
        <w:t>Výjimkou mohou být například cesty do oblastí, před kterými varují české úřady nebo mezinárodní organizace. Samotné upozornění Ministerstva zahraničních věcí nebo Světové zdravotnické organizace ale automaticky neznamená, že pojištění přestává platit.</w:t>
      </w:r>
    </w:p>
    <w:p w14:paraId="6014507E" w14:textId="482701B5" w:rsidR="007F6140" w:rsidRPr="007F6140" w:rsidRDefault="007F6140" w:rsidP="007F6140">
      <w:pPr>
        <w:rPr>
          <w:lang w:val="cs-CZ"/>
        </w:rPr>
      </w:pPr>
      <w:r w:rsidRPr="002B7B40">
        <w:rPr>
          <w:i/>
          <w:iCs/>
          <w:lang w:val="cs-CZ"/>
        </w:rPr>
        <w:lastRenderedPageBreak/>
        <w:t>„Omezení plnění se řídí konkrétními pojistnými podmínkami jednotlivých pojišťoven. Proto je důležité si před cestou ověřit nejen samotnou destinaci, ale i rozsah sjednaného krytí,“</w:t>
      </w:r>
      <w:r w:rsidRPr="007F6140">
        <w:rPr>
          <w:lang w:val="cs-CZ"/>
        </w:rPr>
        <w:t xml:space="preserve"> doplňuje expert FinGO.</w:t>
      </w:r>
    </w:p>
    <w:p w14:paraId="0660D97A" w14:textId="1F4A7A40" w:rsidR="007F6140" w:rsidRPr="007F6140" w:rsidRDefault="007F6140" w:rsidP="007F6140">
      <w:pPr>
        <w:rPr>
          <w:b/>
          <w:bCs/>
          <w:lang w:val="cs-CZ"/>
        </w:rPr>
      </w:pPr>
      <w:r w:rsidRPr="007F6140">
        <w:rPr>
          <w:b/>
          <w:bCs/>
          <w:lang w:val="cs-CZ"/>
        </w:rPr>
        <w:t>Očkování může hrát roli, ale není automatick</w:t>
      </w:r>
      <w:r w:rsidR="0074720E">
        <w:rPr>
          <w:b/>
          <w:bCs/>
          <w:lang w:val="cs-CZ"/>
        </w:rPr>
        <w:t>y</w:t>
      </w:r>
      <w:r w:rsidRPr="007F6140">
        <w:rPr>
          <w:b/>
          <w:bCs/>
          <w:lang w:val="cs-CZ"/>
        </w:rPr>
        <w:t xml:space="preserve"> podmínkou plnění</w:t>
      </w:r>
    </w:p>
    <w:p w14:paraId="4C83DFC8" w14:textId="77777777" w:rsidR="007F6140" w:rsidRPr="007F6140" w:rsidRDefault="007F6140" w:rsidP="007F6140">
      <w:pPr>
        <w:rPr>
          <w:lang w:val="cs-CZ"/>
        </w:rPr>
      </w:pPr>
      <w:r w:rsidRPr="007F6140">
        <w:rPr>
          <w:lang w:val="cs-CZ"/>
        </w:rPr>
        <w:t>Další častou otázkou cestovatelů je, zda pojišťovna odmítne uhradit léčbu v případě, že člověk před cestou neabsolvoval doporučené očkování.</w:t>
      </w:r>
    </w:p>
    <w:p w14:paraId="7A2CD9EA" w14:textId="714B6719" w:rsidR="007F6140" w:rsidRPr="007F6140" w:rsidRDefault="007F6140" w:rsidP="007F6140">
      <w:pPr>
        <w:rPr>
          <w:lang w:val="cs-CZ"/>
        </w:rPr>
      </w:pPr>
      <w:r w:rsidRPr="002B7B40">
        <w:rPr>
          <w:i/>
          <w:iCs/>
          <w:lang w:val="cs-CZ"/>
        </w:rPr>
        <w:t xml:space="preserve">„Pokud šlo pouze o doporučené očkování, samotný fakt, že je cestovatel neměl, obvykle není automatickým důvodem k zamítnutí pojistného plnění. Pojišťovna posuzuje konkrétní situaci a vychází z pojistných podmínek. Jiná situace může nastat u zemí, kde je určité očkování povinné – jeho absence </w:t>
      </w:r>
      <w:r w:rsidR="002B7B40" w:rsidRPr="002B7B40">
        <w:rPr>
          <w:i/>
          <w:iCs/>
          <w:lang w:val="cs-CZ"/>
        </w:rPr>
        <w:t xml:space="preserve">už </w:t>
      </w:r>
      <w:r w:rsidRPr="002B7B40">
        <w:rPr>
          <w:i/>
          <w:iCs/>
          <w:lang w:val="cs-CZ"/>
        </w:rPr>
        <w:t>může mít na posouzení události</w:t>
      </w:r>
      <w:r w:rsidR="002B7B40" w:rsidRPr="002B7B40">
        <w:rPr>
          <w:i/>
          <w:iCs/>
          <w:lang w:val="cs-CZ"/>
        </w:rPr>
        <w:t xml:space="preserve"> vliv</w:t>
      </w:r>
      <w:r w:rsidRPr="002B7B40">
        <w:rPr>
          <w:i/>
          <w:iCs/>
          <w:lang w:val="cs-CZ"/>
        </w:rPr>
        <w:t>,“</w:t>
      </w:r>
      <w:r w:rsidRPr="007F6140">
        <w:rPr>
          <w:lang w:val="cs-CZ"/>
        </w:rPr>
        <w:t xml:space="preserve"> uvádí Tomáš Klápa.</w:t>
      </w:r>
    </w:p>
    <w:p w14:paraId="25B0D32E" w14:textId="77777777" w:rsidR="007F6140" w:rsidRPr="007F6140" w:rsidRDefault="007F6140" w:rsidP="007F6140">
      <w:pPr>
        <w:rPr>
          <w:lang w:val="cs-CZ"/>
        </w:rPr>
      </w:pPr>
      <w:r w:rsidRPr="007F6140">
        <w:rPr>
          <w:lang w:val="cs-CZ"/>
        </w:rPr>
        <w:t>Při řešení pojistné události může pojišťovna požadovat například doložení diagnózy, průběhu léčby nebo nákladů spojených s ošetřením. U infekčních onemocnění se obvykle zaměřuje především na zdravotní dokumentaci a oprávněnost vzniklých výdajů.</w:t>
      </w:r>
    </w:p>
    <w:p w14:paraId="0BA25837" w14:textId="77777777" w:rsidR="007F6140" w:rsidRPr="007F6140" w:rsidRDefault="007F6140" w:rsidP="007F6140">
      <w:pPr>
        <w:rPr>
          <w:b/>
          <w:bCs/>
          <w:lang w:val="cs-CZ"/>
        </w:rPr>
      </w:pPr>
      <w:r w:rsidRPr="007F6140">
        <w:rPr>
          <w:b/>
          <w:bCs/>
          <w:lang w:val="cs-CZ"/>
        </w:rPr>
        <w:t>Léčba tropických nemocí může stát miliony</w:t>
      </w:r>
    </w:p>
    <w:p w14:paraId="6E1EFAE9" w14:textId="77777777" w:rsidR="007F6140" w:rsidRPr="007F6140" w:rsidRDefault="007F6140" w:rsidP="007F6140">
      <w:pPr>
        <w:rPr>
          <w:lang w:val="cs-CZ"/>
        </w:rPr>
      </w:pPr>
      <w:r w:rsidRPr="007F6140">
        <w:rPr>
          <w:lang w:val="cs-CZ"/>
        </w:rPr>
        <w:t>Závažnější tropická onemocnění mohou patřit mezi finančně nejnáročnější zdravotní komplikace v zahraničí. Náklady výrazně rostou zejména v případě hospitalizace, intenzivní péče nebo nutnosti zdravotnického transportu.</w:t>
      </w:r>
    </w:p>
    <w:p w14:paraId="358CC10B" w14:textId="0597CB51" w:rsidR="007F6140" w:rsidRPr="007F6140" w:rsidRDefault="007F6140" w:rsidP="007F6140">
      <w:pPr>
        <w:rPr>
          <w:lang w:val="cs-CZ"/>
        </w:rPr>
      </w:pPr>
      <w:r w:rsidRPr="002B7B40">
        <w:rPr>
          <w:i/>
          <w:iCs/>
          <w:lang w:val="cs-CZ"/>
        </w:rPr>
        <w:t xml:space="preserve">„Zkušenosti z cestovního pojištění ukazují, že nejde jen o cenu samotného vyšetření nebo léků. U komplikovaných průběhů mohou náklady dosahovat milionových částek, například pokud pacient potřebuje delší hospitalizaci nebo </w:t>
      </w:r>
      <w:r w:rsidR="0074720E">
        <w:rPr>
          <w:i/>
          <w:iCs/>
          <w:lang w:val="cs-CZ"/>
        </w:rPr>
        <w:t xml:space="preserve">letecký </w:t>
      </w:r>
      <w:r w:rsidRPr="002B7B40">
        <w:rPr>
          <w:i/>
          <w:iCs/>
          <w:lang w:val="cs-CZ"/>
        </w:rPr>
        <w:t>převoz zpět do České republiky,“</w:t>
      </w:r>
      <w:r w:rsidRPr="007F6140">
        <w:rPr>
          <w:lang w:val="cs-CZ"/>
        </w:rPr>
        <w:t xml:space="preserve"> </w:t>
      </w:r>
      <w:r w:rsidR="002B7B40">
        <w:rPr>
          <w:lang w:val="cs-CZ"/>
        </w:rPr>
        <w:t xml:space="preserve">varuje </w:t>
      </w:r>
      <w:r w:rsidRPr="007F6140">
        <w:rPr>
          <w:lang w:val="cs-CZ"/>
        </w:rPr>
        <w:t>Tomáš Klápa.</w:t>
      </w:r>
    </w:p>
    <w:p w14:paraId="05DFA3B5" w14:textId="77777777" w:rsidR="0074720E" w:rsidRDefault="007F6140" w:rsidP="007F6140">
      <w:pPr>
        <w:rPr>
          <w:i/>
          <w:iCs/>
          <w:lang w:val="cs-CZ"/>
        </w:rPr>
      </w:pPr>
      <w:r w:rsidRPr="007F6140">
        <w:rPr>
          <w:lang w:val="cs-CZ"/>
        </w:rPr>
        <w:t>Pro cesty do tropických oblastí proto odborníci doporučují volit dostatečně vysoké limity léčebných výloh</w:t>
      </w:r>
      <w:r w:rsidR="0074720E" w:rsidRPr="0074720E">
        <w:rPr>
          <w:lang w:val="cs-CZ"/>
        </w:rPr>
        <w:t xml:space="preserve">, </w:t>
      </w:r>
      <w:r w:rsidRPr="0074720E">
        <w:rPr>
          <w:lang w:val="cs-CZ"/>
        </w:rPr>
        <w:t>ideálně bezlimitní pojištění, případně limit alespoň 50 milionů korun.</w:t>
      </w:r>
      <w:r w:rsidRPr="002B7B40">
        <w:rPr>
          <w:i/>
          <w:iCs/>
          <w:lang w:val="cs-CZ"/>
        </w:rPr>
        <w:t xml:space="preserve"> </w:t>
      </w:r>
    </w:p>
    <w:p w14:paraId="0B121201" w14:textId="4C4452AE" w:rsidR="007F6140" w:rsidRPr="007F6140" w:rsidRDefault="0074720E" w:rsidP="007F6140">
      <w:pPr>
        <w:rPr>
          <w:lang w:val="cs-CZ"/>
        </w:rPr>
      </w:pPr>
      <w:r>
        <w:rPr>
          <w:i/>
          <w:iCs/>
          <w:lang w:val="cs-CZ"/>
        </w:rPr>
        <w:t>„</w:t>
      </w:r>
      <w:r w:rsidR="007F6140" w:rsidRPr="002B7B40">
        <w:rPr>
          <w:i/>
          <w:iCs/>
          <w:lang w:val="cs-CZ"/>
        </w:rPr>
        <w:t>Z praxe vyplývá, že závažnější škody se často pohybují v jednotkách milionů nebo nižších desít</w:t>
      </w:r>
      <w:r>
        <w:rPr>
          <w:i/>
          <w:iCs/>
          <w:lang w:val="cs-CZ"/>
        </w:rPr>
        <w:t>e</w:t>
      </w:r>
      <w:r w:rsidR="007F6140" w:rsidRPr="002B7B40">
        <w:rPr>
          <w:i/>
          <w:iCs/>
          <w:lang w:val="cs-CZ"/>
        </w:rPr>
        <w:t xml:space="preserve">k milionů korun. Rozdíl v ceně pojistného přitom bývá ve srovnání s celkovou cenou dovolené, letenek nebo ubytování minimální. </w:t>
      </w:r>
      <w:r w:rsidR="00C02E5D" w:rsidRPr="00C02E5D">
        <w:rPr>
          <w:i/>
          <w:iCs/>
        </w:rPr>
        <w:t>V případě dlouhodobé hospitalizace ale může být vysoký limit největším benefitem</w:t>
      </w:r>
      <w:r w:rsidR="007F6140" w:rsidRPr="002B7B40">
        <w:rPr>
          <w:i/>
          <w:iCs/>
          <w:lang w:val="cs-CZ"/>
        </w:rPr>
        <w:t>,“</w:t>
      </w:r>
      <w:r w:rsidR="007F6140" w:rsidRPr="007F6140">
        <w:rPr>
          <w:lang w:val="cs-CZ"/>
        </w:rPr>
        <w:t xml:space="preserve"> vysvětluje expert FinGO.</w:t>
      </w:r>
    </w:p>
    <w:p w14:paraId="4F49693C" w14:textId="77777777" w:rsidR="007F6140" w:rsidRPr="007F6140" w:rsidRDefault="007F6140" w:rsidP="007F6140">
      <w:pPr>
        <w:rPr>
          <w:b/>
          <w:bCs/>
          <w:lang w:val="cs-CZ"/>
        </w:rPr>
      </w:pPr>
      <w:r w:rsidRPr="007F6140">
        <w:rPr>
          <w:b/>
          <w:bCs/>
          <w:lang w:val="cs-CZ"/>
        </w:rPr>
        <w:t>Jaké nemoci si Češi nejčastěji přivážejí z cest?</w:t>
      </w:r>
    </w:p>
    <w:p w14:paraId="596106BC" w14:textId="77777777" w:rsidR="00995AB8" w:rsidRDefault="007F6140" w:rsidP="0074720E">
      <w:pPr>
        <w:rPr>
          <w:lang w:val="cs-CZ"/>
        </w:rPr>
      </w:pPr>
      <w:r w:rsidRPr="007F6140">
        <w:rPr>
          <w:lang w:val="cs-CZ"/>
        </w:rPr>
        <w:t>Nejčastější zdravotní komplikace po návratu se liší podle destinace. Z oblastí s nižším hygienickým standardem se cestovatelé nejčastěji potýkají například s hepatitidou A nebo malárií v některých částech Asie, Oceánie a Afriky.</w:t>
      </w:r>
    </w:p>
    <w:p w14:paraId="5F3FAFD0" w14:textId="77777777" w:rsidR="004C15E3" w:rsidRDefault="0074720E">
      <w:pPr>
        <w:rPr>
          <w:lang w:val="cs-CZ"/>
        </w:rPr>
      </w:pPr>
      <w:r w:rsidRPr="007F6140">
        <w:rPr>
          <w:lang w:val="cs-CZ"/>
        </w:rPr>
        <w:t xml:space="preserve">Pokud se zdravotní problémy objeví už během pobytu v zahraničí, </w:t>
      </w:r>
      <w:r>
        <w:rPr>
          <w:lang w:val="cs-CZ"/>
        </w:rPr>
        <w:t xml:space="preserve">odborníci </w:t>
      </w:r>
      <w:r w:rsidRPr="007F6140">
        <w:rPr>
          <w:lang w:val="cs-CZ"/>
        </w:rPr>
        <w:t>doporučuj</w:t>
      </w:r>
      <w:r>
        <w:rPr>
          <w:lang w:val="cs-CZ"/>
        </w:rPr>
        <w:t>í</w:t>
      </w:r>
      <w:r w:rsidRPr="007F6140">
        <w:rPr>
          <w:lang w:val="cs-CZ"/>
        </w:rPr>
        <w:t xml:space="preserve"> nejprve kontaktovat asistenční službu pojišťovny a postupovat podle jejích instrukcí. Asistence </w:t>
      </w:r>
      <w:r>
        <w:rPr>
          <w:lang w:val="cs-CZ"/>
        </w:rPr>
        <w:t>po</w:t>
      </w:r>
      <w:r w:rsidRPr="007F6140">
        <w:rPr>
          <w:lang w:val="cs-CZ"/>
        </w:rPr>
        <w:t>může najít vhodného lékaře</w:t>
      </w:r>
      <w:r>
        <w:rPr>
          <w:lang w:val="cs-CZ"/>
        </w:rPr>
        <w:t xml:space="preserve"> a zdravotnické zařízení</w:t>
      </w:r>
      <w:r w:rsidRPr="007F6140">
        <w:rPr>
          <w:lang w:val="cs-CZ"/>
        </w:rPr>
        <w:t xml:space="preserve">, ověřit rozsah krytí nebo </w:t>
      </w:r>
      <w:r w:rsidR="00995AB8">
        <w:rPr>
          <w:lang w:val="cs-CZ"/>
        </w:rPr>
        <w:t xml:space="preserve">pomoci s překladem a </w:t>
      </w:r>
      <w:r w:rsidRPr="007F6140">
        <w:rPr>
          <w:lang w:val="cs-CZ"/>
        </w:rPr>
        <w:t>usnadnit komunikaci v cizím jazyce.</w:t>
      </w:r>
    </w:p>
    <w:p w14:paraId="3F4BFF90" w14:textId="77777777" w:rsidR="004C15E3" w:rsidRDefault="00995AB8" w:rsidP="004C15E3">
      <w:pPr>
        <w:spacing w:after="0"/>
        <w:rPr>
          <w:lang w:val="cs-CZ"/>
        </w:rPr>
      </w:pPr>
      <w:r>
        <w:rPr>
          <w:lang w:val="cs-CZ"/>
        </w:rPr>
        <w:lastRenderedPageBreak/>
        <w:t>Ani p</w:t>
      </w:r>
      <w:r w:rsidR="007F6140" w:rsidRPr="007F6140">
        <w:rPr>
          <w:lang w:val="cs-CZ"/>
        </w:rPr>
        <w:t>o návratu domů by lidé neměli podceňovat přetrvávající únavu, horečku nebo neobvyklé příznaky, zejména pokud navštívili oblasti s vyšším výskytem přenašečů.</w:t>
      </w:r>
    </w:p>
    <w:p w14:paraId="346A3AB6" w14:textId="61FCEE3A" w:rsidR="004C1B7D" w:rsidRDefault="00995AB8" w:rsidP="004C15E3">
      <w:pPr>
        <w:spacing w:after="0"/>
        <w:rPr>
          <w:lang w:val="cs-CZ"/>
        </w:rPr>
      </w:pPr>
      <w:r>
        <w:br/>
      </w:r>
      <w:r w:rsidR="007F6140" w:rsidRPr="007F6140">
        <w:rPr>
          <w:lang w:val="cs-CZ"/>
        </w:rPr>
        <w:t>Tropické nemoci zatím v Evropě nepředstavují masový problém, jejich výskyt ale ukazuje, že zdravotní rizika při cestování se postupně mění. O to důležitější je nepodcenit přípravu a věnovat pozornost prevenci i při dovolené, která se na první pohled může zdát zcela bezriziková.</w:t>
      </w:r>
    </w:p>
    <w:p w14:paraId="10220504" w14:textId="77777777" w:rsidR="004C15E3" w:rsidRPr="007F6140" w:rsidRDefault="004C15E3" w:rsidP="004C15E3">
      <w:pPr>
        <w:spacing w:after="0"/>
        <w:rPr>
          <w:lang w:val="cs-CZ"/>
        </w:rPr>
      </w:pPr>
    </w:p>
    <w:p w14:paraId="35E2CF17" w14:textId="77777777" w:rsidR="00DE3F6E" w:rsidRDefault="00DA3A9A">
      <w:pPr>
        <w:spacing w:line="276" w:lineRule="auto"/>
      </w:pPr>
      <w:r>
        <w:rPr>
          <w:b/>
          <w:bCs/>
          <w:i/>
          <w:iCs/>
          <w:sz w:val="20"/>
          <w:szCs w:val="20"/>
        </w:rPr>
        <w:t>O společnosti FinGO:</w:t>
      </w:r>
    </w:p>
    <w:p w14:paraId="4903CDCB" w14:textId="77777777" w:rsidR="004C1B7D" w:rsidRDefault="00DA3A9A" w:rsidP="00475B22">
      <w:pPr>
        <w:spacing w:line="276" w:lineRule="auto"/>
        <w:rPr>
          <w:i/>
          <w:iCs/>
          <w:sz w:val="20"/>
          <w:szCs w:val="20"/>
        </w:rPr>
      </w:pPr>
      <w:r>
        <w:rPr>
          <w:i/>
          <w:iCs/>
          <w:sz w:val="20"/>
          <w:szCs w:val="20"/>
        </w:rPr>
        <w:t>Digitální finančně-poradenská společnost FinGO.cz začala v České republice působit v roce 2021 s cílem přinést makléřům i klientům pohodlí, férovost a díky digitálním technologiím také příležitost, jak oslovit nové klienty. V současnosti má společnost přes 680 vázaných zástupců, kteří působí po celé České republice. Za dobu svého působení se řadí mezi nejrychleji rostoucí finančně poradenské společnosti v ČR. Významný podíl produkce FinGO.cz pochází z online příležitostí, které společnost sama vytváří pro své vázané zástupce.</w:t>
      </w:r>
    </w:p>
    <w:p w14:paraId="47CF12A7" w14:textId="77777777" w:rsidR="004C15E3" w:rsidRDefault="00DA3A9A" w:rsidP="00475B22">
      <w:pPr>
        <w:spacing w:line="276" w:lineRule="auto"/>
        <w:rPr>
          <w:i/>
          <w:iCs/>
          <w:sz w:val="20"/>
          <w:szCs w:val="20"/>
        </w:rPr>
      </w:pPr>
      <w:r>
        <w:rPr>
          <w:i/>
          <w:iCs/>
          <w:sz w:val="20"/>
          <w:szCs w:val="20"/>
        </w:rPr>
        <w:br/>
        <w:t>Společnost FinGO je součástí lokální investiční skupiny InTeFi Capital podnikatele a investora Lukáše Nováka. Skupina vlastní a řídí české a slovenské společnosti z oblastí informačních technologií, financí, energetiky a real estate developmentu. Je majoritním vlastníkem energetické skupiny Electree nebo technologické společnosti BiQ Group, která vytváří komplexní a udržitelné IT projekty pro řadu významných společností na Českém a evropském trhu. Sesterská společnost FinGO.sk byla založena v roce 2017 a stala se jednou z nejrychleji rostoucích společností ve svém oboru na Slovensku. Více než 1 000 odborníků působí ve všech 79 okresech Slovenska a stará se o téměř 150 000 spokojených klientů.</w:t>
      </w:r>
    </w:p>
    <w:p w14:paraId="3BF91658" w14:textId="5B4D8408" w:rsidR="00DE3F6E" w:rsidRPr="004C1B7D" w:rsidRDefault="00DA3A9A" w:rsidP="00475B22">
      <w:pPr>
        <w:spacing w:line="276" w:lineRule="auto"/>
        <w:rPr>
          <w:i/>
          <w:iCs/>
          <w:sz w:val="20"/>
          <w:szCs w:val="20"/>
        </w:rPr>
      </w:pPr>
      <w:r>
        <w:rPr>
          <w:sz w:val="20"/>
          <w:szCs w:val="20"/>
        </w:rPr>
        <w:br/>
      </w:r>
      <w:r>
        <w:rPr>
          <w:b/>
          <w:bCs/>
        </w:rPr>
        <w:t>Kontakt pro média:</w:t>
      </w:r>
    </w:p>
    <w:p w14:paraId="5DDB003D" w14:textId="77777777" w:rsidR="00DE3F6E" w:rsidRDefault="00DA3A9A">
      <w:pPr>
        <w:spacing w:after="0"/>
      </w:pPr>
      <w:r>
        <w:t>Crest Communications</w:t>
      </w:r>
    </w:p>
    <w:p w14:paraId="35A50EEF" w14:textId="77777777" w:rsidR="00DE3F6E" w:rsidRDefault="00DA3A9A">
      <w:pPr>
        <w:spacing w:after="0"/>
      </w:pPr>
      <w:r>
        <w:t>Bára Wendlová</w:t>
      </w:r>
    </w:p>
    <w:p w14:paraId="183ABA72" w14:textId="2AEA1AC5" w:rsidR="00DE3F6E" w:rsidRDefault="00DA3A9A">
      <w:pPr>
        <w:spacing w:after="0"/>
      </w:pPr>
      <w:hyperlink r:id="rId8">
        <w:r>
          <w:rPr>
            <w:color w:val="0000FF"/>
            <w:u w:val="single"/>
          </w:rPr>
          <w:t>bara.wendlova@crestcom.cz</w:t>
        </w:r>
      </w:hyperlink>
      <w:r>
        <w:br/>
        <w:t>tel.: 737 080</w:t>
      </w:r>
      <w:r w:rsidR="00475B22">
        <w:t> </w:t>
      </w:r>
      <w:r>
        <w:t>665</w:t>
      </w:r>
    </w:p>
    <w:p w14:paraId="7211C3B1" w14:textId="77777777" w:rsidR="00475B22" w:rsidRDefault="00475B22" w:rsidP="00475B22">
      <w:pPr>
        <w:jc w:val="right"/>
        <w:rPr>
          <w:rFonts w:ascii="Aptos" w:eastAsia="Aptos" w:hAnsi="Aptos" w:cs="Aptos"/>
          <w:sz w:val="24"/>
          <w:szCs w:val="24"/>
        </w:rPr>
      </w:pPr>
      <w:r>
        <w:rPr>
          <w:noProof/>
        </w:rPr>
        <w:drawing>
          <wp:inline distT="0" distB="0" distL="0" distR="0" wp14:anchorId="2E8D4C1F" wp14:editId="7DAE0D9C">
            <wp:extent cx="467995" cy="467995"/>
            <wp:effectExtent l="0" t="0" r="8255" b="8255"/>
            <wp:docPr id="2114277061" name="Obrázek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77061" name="Obrázek 3">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r>
        <w:rPr>
          <w:noProof/>
        </w:rPr>
        <w:drawing>
          <wp:inline distT="0" distB="0" distL="0" distR="0" wp14:anchorId="194D1D66" wp14:editId="3E6D921E">
            <wp:extent cx="467995" cy="467995"/>
            <wp:effectExtent l="0" t="0" r="8255" b="8255"/>
            <wp:docPr id="405155231" name="Obrázek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155231" name="Obrázek 4">
                      <a:hlinkClick r:id="rId12"/>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r>
        <w:rPr>
          <w:noProof/>
        </w:rPr>
        <w:drawing>
          <wp:inline distT="0" distB="0" distL="0" distR="0" wp14:anchorId="0C8B6E5B" wp14:editId="5C154A49">
            <wp:extent cx="467995" cy="467995"/>
            <wp:effectExtent l="0" t="0" r="8255" b="8255"/>
            <wp:docPr id="142190781" name="Obrázek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0781" name="Obrázek 5">
                      <a:hlinkClick r:id="rId15"/>
                    </pic:cNvPr>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inline>
        </w:drawing>
      </w:r>
      <w:r>
        <w:rPr>
          <w:noProof/>
        </w:rPr>
        <w:drawing>
          <wp:inline distT="0" distB="0" distL="0" distR="0" wp14:anchorId="37CFB952" wp14:editId="370560B9">
            <wp:extent cx="436245" cy="436245"/>
            <wp:effectExtent l="0" t="0" r="1905" b="1905"/>
            <wp:docPr id="345936136" name="Obrázek 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36136" name="Obrázek 6">
                      <a:hlinkClick r:id="rId18"/>
                    </pic:cNvPr>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36245" cy="436245"/>
                    </a:xfrm>
                    <a:prstGeom prst="rect">
                      <a:avLst/>
                    </a:prstGeom>
                    <a:noFill/>
                    <a:ln>
                      <a:noFill/>
                    </a:ln>
                  </pic:spPr>
                </pic:pic>
              </a:graphicData>
            </a:graphic>
          </wp:inline>
        </w:drawing>
      </w:r>
      <w:r>
        <w:rPr>
          <w:noProof/>
        </w:rPr>
        <w:drawing>
          <wp:inline distT="0" distB="0" distL="0" distR="0" wp14:anchorId="645C5C31" wp14:editId="4649AC7A">
            <wp:extent cx="605790" cy="467995"/>
            <wp:effectExtent l="0" t="0" r="3810" b="8255"/>
            <wp:docPr id="752179882" name="Obrázek 7">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79882" name="Obrázek 7">
                      <a:hlinkClick r:id="rId21"/>
                    </pic:cNvPr>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605790" cy="467995"/>
                    </a:xfrm>
                    <a:prstGeom prst="rect">
                      <a:avLst/>
                    </a:prstGeom>
                    <a:noFill/>
                    <a:ln>
                      <a:noFill/>
                    </a:ln>
                  </pic:spPr>
                </pic:pic>
              </a:graphicData>
            </a:graphic>
          </wp:inline>
        </w:drawing>
      </w:r>
    </w:p>
    <w:p w14:paraId="2F32FF10" w14:textId="77777777" w:rsidR="00475B22" w:rsidRDefault="00475B22" w:rsidP="00475B22">
      <w:pPr>
        <w:spacing w:after="0"/>
        <w:jc w:val="right"/>
      </w:pPr>
    </w:p>
    <w:sectPr w:rsidR="00475B22">
      <w:headerReference w:type="default" r:id="rId24"/>
      <w:footerReference w:type="default" r:id="rId2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244E2" w14:textId="77777777" w:rsidR="00E67344" w:rsidRDefault="00E67344">
      <w:pPr>
        <w:spacing w:after="0" w:line="240" w:lineRule="auto"/>
      </w:pPr>
      <w:r>
        <w:separator/>
      </w:r>
    </w:p>
  </w:endnote>
  <w:endnote w:type="continuationSeparator" w:id="0">
    <w:p w14:paraId="102EBDAC" w14:textId="77777777" w:rsidR="00E67344" w:rsidRDefault="00E67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2EA17D5-E3E9-4FA2-AACA-6E58062AE983}"/>
  </w:font>
  <w:font w:name="Courier New">
    <w:panose1 w:val="02070309020205020404"/>
    <w:charset w:val="EE"/>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embedRegular r:id="rId2" w:fontKey="{699A0F18-87C0-4A32-93A1-477E6547DAF4}"/>
    <w:embedBold r:id="rId3" w:fontKey="{944E34F7-E7B4-4FF5-848C-DF1E1E64790A}"/>
    <w:embedItalic r:id="rId4" w:fontKey="{BC667C48-681F-4FCC-86B5-4BE843CB6891}"/>
    <w:embedBoldItalic r:id="rId5" w:fontKey="{22DD1196-C674-4AB2-85CC-C961B0E4B722}"/>
  </w:font>
  <w:font w:name="Calibri">
    <w:panose1 w:val="020F0502020204030204"/>
    <w:charset w:val="EE"/>
    <w:family w:val="swiss"/>
    <w:pitch w:val="variable"/>
    <w:sig w:usb0="E4002EFF" w:usb1="C200247B" w:usb2="00000009" w:usb3="00000000" w:csb0="000001FF" w:csb1="00000000"/>
    <w:embedRegular r:id="rId6" w:fontKey="{79501A77-7ABF-4692-A061-64FDF126F163}"/>
    <w:embedItalic r:id="rId7" w:fontKey="{BC0943AB-5A19-403A-AF69-2B2876BCA27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8" w:fontKey="{57AC2C7B-2F07-4DA5-84AB-489DC1A67901}"/>
  </w:font>
  <w:font w:name="Aptos">
    <w:charset w:val="00"/>
    <w:family w:val="swiss"/>
    <w:pitch w:val="variable"/>
    <w:sig w:usb0="20000287" w:usb1="00000003" w:usb2="00000000" w:usb3="00000000" w:csb0="0000019F" w:csb1="00000000"/>
    <w:embedRegular r:id="rId9" w:fontKey="{6C98A9B9-A706-4152-8CC8-DA50825DE7B2}"/>
  </w:font>
  <w:font w:name="Cambria">
    <w:panose1 w:val="02040503050406030204"/>
    <w:charset w:val="EE"/>
    <w:family w:val="roman"/>
    <w:pitch w:val="variable"/>
    <w:sig w:usb0="E00006FF" w:usb1="420024FF" w:usb2="02000000" w:usb3="00000000" w:csb0="0000019F" w:csb1="00000000"/>
    <w:embedRegular r:id="rId10" w:fontKey="{00F5F560-9B2B-4C8B-BFD9-AB1CE46F0F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2BA7" w14:textId="77777777" w:rsidR="00DE3F6E" w:rsidRDefault="00DE3F6E">
    <w:pPr>
      <w:widowControl w:val="0"/>
      <w:pBdr>
        <w:top w:val="nil"/>
        <w:left w:val="nil"/>
        <w:bottom w:val="nil"/>
        <w:right w:val="nil"/>
        <w:between w:val="nil"/>
      </w:pBdr>
      <w:spacing w:after="0" w:line="276" w:lineRule="auto"/>
      <w:jc w:val="left"/>
      <w:rPr>
        <w:color w:val="000000"/>
      </w:rPr>
    </w:pPr>
  </w:p>
  <w:tbl>
    <w:tblPr>
      <w:tblStyle w:val="a"/>
      <w:tblW w:w="9060" w:type="dxa"/>
      <w:tblInd w:w="0" w:type="dxa"/>
      <w:tblLayout w:type="fixed"/>
      <w:tblLook w:val="0600" w:firstRow="0" w:lastRow="0" w:firstColumn="0" w:lastColumn="0" w:noHBand="1" w:noVBand="1"/>
    </w:tblPr>
    <w:tblGrid>
      <w:gridCol w:w="3020"/>
      <w:gridCol w:w="3020"/>
      <w:gridCol w:w="3020"/>
    </w:tblGrid>
    <w:tr w:rsidR="00DE3F6E" w14:paraId="273C218A" w14:textId="77777777">
      <w:trPr>
        <w:trHeight w:val="300"/>
      </w:trPr>
      <w:tc>
        <w:tcPr>
          <w:tcW w:w="3020" w:type="dxa"/>
        </w:tcPr>
        <w:p w14:paraId="7D3554B9" w14:textId="77777777" w:rsidR="00DE3F6E" w:rsidRDefault="00DE3F6E">
          <w:pPr>
            <w:pBdr>
              <w:top w:val="nil"/>
              <w:left w:val="nil"/>
              <w:bottom w:val="nil"/>
              <w:right w:val="nil"/>
              <w:between w:val="nil"/>
            </w:pBdr>
            <w:tabs>
              <w:tab w:val="center" w:pos="4536"/>
              <w:tab w:val="right" w:pos="9072"/>
            </w:tabs>
            <w:spacing w:after="0" w:line="240" w:lineRule="auto"/>
            <w:rPr>
              <w:color w:val="000000"/>
            </w:rPr>
          </w:pPr>
        </w:p>
      </w:tc>
      <w:tc>
        <w:tcPr>
          <w:tcW w:w="3020" w:type="dxa"/>
        </w:tcPr>
        <w:p w14:paraId="020030C0" w14:textId="77777777" w:rsidR="00DE3F6E" w:rsidRDefault="00DE3F6E">
          <w:pPr>
            <w:pBdr>
              <w:top w:val="nil"/>
              <w:left w:val="nil"/>
              <w:bottom w:val="nil"/>
              <w:right w:val="nil"/>
              <w:between w:val="nil"/>
            </w:pBdr>
            <w:tabs>
              <w:tab w:val="center" w:pos="4536"/>
              <w:tab w:val="right" w:pos="9072"/>
            </w:tabs>
            <w:spacing w:after="0" w:line="240" w:lineRule="auto"/>
            <w:rPr>
              <w:color w:val="000000"/>
            </w:rPr>
          </w:pPr>
        </w:p>
      </w:tc>
      <w:tc>
        <w:tcPr>
          <w:tcW w:w="3020" w:type="dxa"/>
        </w:tcPr>
        <w:p w14:paraId="5C5AECD2" w14:textId="77777777" w:rsidR="00DE3F6E" w:rsidRDefault="00DE3F6E">
          <w:pPr>
            <w:pBdr>
              <w:top w:val="nil"/>
              <w:left w:val="nil"/>
              <w:bottom w:val="nil"/>
              <w:right w:val="nil"/>
              <w:between w:val="nil"/>
            </w:pBdr>
            <w:tabs>
              <w:tab w:val="center" w:pos="4536"/>
              <w:tab w:val="right" w:pos="9072"/>
            </w:tabs>
            <w:spacing w:after="0" w:line="240" w:lineRule="auto"/>
            <w:rPr>
              <w:color w:val="000000"/>
            </w:rPr>
          </w:pPr>
        </w:p>
      </w:tc>
    </w:tr>
  </w:tbl>
  <w:p w14:paraId="48DF6F2B" w14:textId="77777777" w:rsidR="00DE3F6E" w:rsidRDefault="00DE3F6E">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B81D0" w14:textId="77777777" w:rsidR="00E67344" w:rsidRDefault="00E67344">
      <w:pPr>
        <w:spacing w:after="0" w:line="240" w:lineRule="auto"/>
      </w:pPr>
      <w:r>
        <w:separator/>
      </w:r>
    </w:p>
  </w:footnote>
  <w:footnote w:type="continuationSeparator" w:id="0">
    <w:p w14:paraId="382817BA" w14:textId="77777777" w:rsidR="00E67344" w:rsidRDefault="00E67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BFBB2" w14:textId="77777777" w:rsidR="00DE3F6E" w:rsidRDefault="00DA3A9A">
    <w:pPr>
      <w:pBdr>
        <w:top w:val="nil"/>
        <w:left w:val="nil"/>
        <w:bottom w:val="nil"/>
        <w:right w:val="nil"/>
        <w:between w:val="nil"/>
      </w:pBdr>
      <w:tabs>
        <w:tab w:val="center" w:pos="4536"/>
        <w:tab w:val="right" w:pos="9072"/>
      </w:tabs>
      <w:spacing w:after="0" w:line="240" w:lineRule="auto"/>
      <w:rPr>
        <w:color w:val="000000"/>
        <w:sz w:val="30"/>
        <w:szCs w:val="30"/>
      </w:rPr>
    </w:pPr>
    <w:r>
      <w:rPr>
        <w:noProof/>
      </w:rPr>
      <w:drawing>
        <wp:anchor distT="0" distB="0" distL="114300" distR="114300" simplePos="0" relativeHeight="251658240" behindDoc="0" locked="0" layoutInCell="1" hidden="0" allowOverlap="1" wp14:anchorId="67E93175" wp14:editId="781B3C9A">
          <wp:simplePos x="0" y="0"/>
          <wp:positionH relativeFrom="column">
            <wp:posOffset>4310380</wp:posOffset>
          </wp:positionH>
          <wp:positionV relativeFrom="paragraph">
            <wp:posOffset>-325753</wp:posOffset>
          </wp:positionV>
          <wp:extent cx="1895475" cy="768985"/>
          <wp:effectExtent l="0" t="0" r="0" b="0"/>
          <wp:wrapSquare wrapText="bothSides" distT="0" distB="0" distL="114300" distR="11430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895475" cy="768985"/>
                  </a:xfrm>
                  <a:prstGeom prst="rect">
                    <a:avLst/>
                  </a:prstGeom>
                  <a:ln/>
                </pic:spPr>
              </pic:pic>
            </a:graphicData>
          </a:graphic>
        </wp:anchor>
      </w:drawing>
    </w:r>
  </w:p>
  <w:p w14:paraId="29F39FED" w14:textId="77777777" w:rsidR="00DE3F6E" w:rsidRDefault="00DE3F6E">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36DA2"/>
    <w:multiLevelType w:val="multilevel"/>
    <w:tmpl w:val="7116E8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416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F6E"/>
    <w:rsid w:val="00056B72"/>
    <w:rsid w:val="001F30D4"/>
    <w:rsid w:val="002B7B40"/>
    <w:rsid w:val="002E49FB"/>
    <w:rsid w:val="00475B22"/>
    <w:rsid w:val="004C15E3"/>
    <w:rsid w:val="004C1B7D"/>
    <w:rsid w:val="005E55C2"/>
    <w:rsid w:val="007201A2"/>
    <w:rsid w:val="0074720E"/>
    <w:rsid w:val="00790754"/>
    <w:rsid w:val="007F6140"/>
    <w:rsid w:val="00995AB8"/>
    <w:rsid w:val="00AF1661"/>
    <w:rsid w:val="00C02E5D"/>
    <w:rsid w:val="00CA6CDB"/>
    <w:rsid w:val="00DA3A9A"/>
    <w:rsid w:val="00DB2B07"/>
    <w:rsid w:val="00DE3F6E"/>
    <w:rsid w:val="00E67344"/>
    <w:rsid w:val="00F0520F"/>
    <w:rsid w:val="00F17955"/>
    <w:rsid w:val="00F3419A"/>
    <w:rsid w:val="00F55B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7E7B0"/>
  <w15:docId w15:val="{507FF667-45E1-4FDC-8880-71C1C6C78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cs" w:eastAsia="cs-CZ"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outlineLvl w:val="0"/>
    </w:pPr>
    <w:rPr>
      <w:b/>
      <w:bCs/>
      <w:sz w:val="32"/>
      <w:szCs w:val="32"/>
    </w:rPr>
  </w:style>
  <w:style w:type="paragraph" w:styleId="Nadpis2">
    <w:name w:val="heading 2"/>
    <w:basedOn w:val="Normln"/>
    <w:next w:val="Normln"/>
    <w:uiPriority w:val="9"/>
    <w:semiHidden/>
    <w:unhideWhenUsed/>
    <w:qFormat/>
    <w:pPr>
      <w:keepNext/>
      <w:keepLines/>
      <w:spacing w:before="40" w:after="0"/>
      <w:outlineLvl w:val="1"/>
    </w:pPr>
    <w:rPr>
      <w:rFonts w:ascii="Calibri" w:eastAsia="Calibri" w:hAnsi="Calibri" w:cs="Calibri"/>
      <w:color w:val="2F5496"/>
      <w:sz w:val="26"/>
      <w:szCs w:val="26"/>
    </w:rPr>
  </w:style>
  <w:style w:type="paragraph" w:styleId="Nadpis3">
    <w:name w:val="heading 3"/>
    <w:basedOn w:val="Normln"/>
    <w:next w:val="Normln"/>
    <w:uiPriority w:val="9"/>
    <w:semiHidden/>
    <w:unhideWhenUsed/>
    <w:qFormat/>
    <w:pPr>
      <w:keepNext/>
      <w:keepLines/>
      <w:spacing w:before="40" w:after="0"/>
      <w:outlineLvl w:val="2"/>
    </w:pPr>
    <w:rPr>
      <w:rFonts w:ascii="Calibri" w:eastAsia="Calibri" w:hAnsi="Calibri" w:cs="Calibri"/>
      <w:color w:val="1F3863"/>
      <w:sz w:val="24"/>
      <w:szCs w:val="24"/>
    </w:rPr>
  </w:style>
  <w:style w:type="paragraph" w:styleId="Nadpis4">
    <w:name w:val="heading 4"/>
    <w:basedOn w:val="Normln"/>
    <w:next w:val="Normln"/>
    <w:uiPriority w:val="9"/>
    <w:semiHidden/>
    <w:unhideWhenUsed/>
    <w:qFormat/>
    <w:pPr>
      <w:keepNext/>
      <w:keepLines/>
      <w:spacing w:before="40" w:after="0"/>
      <w:outlineLvl w:val="3"/>
    </w:pPr>
    <w:rPr>
      <w:rFonts w:ascii="Calibri" w:eastAsia="Calibri" w:hAnsi="Calibri" w:cs="Calibri"/>
      <w:i/>
      <w:iCs/>
      <w:color w:val="2F5496"/>
    </w:rPr>
  </w:style>
  <w:style w:type="paragraph" w:styleId="Nadpis5">
    <w:name w:val="heading 5"/>
    <w:basedOn w:val="Normln"/>
    <w:next w:val="Normln"/>
    <w:uiPriority w:val="9"/>
    <w:semiHidden/>
    <w:unhideWhenUsed/>
    <w:qFormat/>
    <w:pPr>
      <w:keepNext/>
      <w:keepLines/>
      <w:spacing w:before="220" w:after="40"/>
      <w:outlineLvl w:val="4"/>
    </w:pPr>
    <w:rPr>
      <w:b/>
      <w:bCs/>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ra.wendlova@crestcom.cz" TargetMode="External"/><Relationship Id="rId13" Type="http://schemas.openxmlformats.org/officeDocument/2006/relationships/image" Target="media/image2.png"/><Relationship Id="rId18" Type="http://schemas.openxmlformats.org/officeDocument/2006/relationships/hyperlink" Target="https://x.com/fingoc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youtube.com/channel/UCGwO0jxau7AaMq0gKUcCh7A" TargetMode="External"/><Relationship Id="rId7" Type="http://schemas.openxmlformats.org/officeDocument/2006/relationships/endnotes" Target="endnotes.xml"/><Relationship Id="rId12" Type="http://schemas.openxmlformats.org/officeDocument/2006/relationships/hyperlink" Target="https://www.instagram.com/fingo.cz/" TargetMode="External"/><Relationship Id="rId17" Type="http://schemas.openxmlformats.org/officeDocument/2006/relationships/image" Target="cid:ii_mqrsi6ui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cid:ii_mqrsi6uk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i_mqrsi6ub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linkedin.com/company/fingo-cz/" TargetMode="External"/><Relationship Id="rId23" Type="http://schemas.openxmlformats.org/officeDocument/2006/relationships/image" Target="cid:ii_mqrsi6un4"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facebook.com/fingo.cz/" TargetMode="External"/><Relationship Id="rId14" Type="http://schemas.openxmlformats.org/officeDocument/2006/relationships/image" Target="cid:ii_mqrsi6ug1" TargetMode="External"/><Relationship Id="rId22" Type="http://schemas.openxmlformats.org/officeDocument/2006/relationships/image" Target="media/image5.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5TbcC8pwhDqN05dNONvksFU/DQ==">CgMxLjA4AHIhMU5NTFJIRWJ5cmY4NElhMUQ4WW9lUTZwSllDRVpKTDBw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1020</Words>
  <Characters>6018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 Koutská</dc:creator>
  <cp:lastModifiedBy>Bára Wendlová | CrestCommunications a.s.</cp:lastModifiedBy>
  <cp:revision>8</cp:revision>
  <dcterms:created xsi:type="dcterms:W3CDTF">2026-07-27T12:02:00Z</dcterms:created>
  <dcterms:modified xsi:type="dcterms:W3CDTF">2026-08-12T08:26:00Z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0x010100EE21AEF63623FE4F9A58CC6BACDC5B81</vt:lpwstr>
  </property>
  <property fmtid="{D5CDD505-2E9C-101B-9397-08002B2CF9AE}" pid="3" name="MediaServiceImageTags">
    <vt:lpwstr>MediaServiceImageTags</vt:lpwstr>
  </property>
</Properties>
</file>